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Nombre y Apellido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ilvina María Chaín Molina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b w:val="0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u w:val="single"/>
          <w:vertAlign w:val="baseline"/>
          <w:rtl w:val="0"/>
        </w:rPr>
        <w:t xml:space="preserve">ESTUDIOS CURSADOS Y TÍTULOS OBTENIDOS: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u w:val="single"/>
          <w:vertAlign w:val="baseline"/>
          <w:rtl w:val="0"/>
        </w:rPr>
        <w:t xml:space="preserve">Estudios Universitarios: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Carrera: Abogacía y Escribanía - Universidad Nacional de Tucumán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DOCTORA EN Ciencias Jurídicas y Sociales – Universidad Nacional de la Plata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(Resol. Académica de Postgrado Nº153 del 28/4/2005). Defensa Tesis 12/6/2012.-</w:t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-Miembro TITULAR de la ACADEMIA NACIONAL DE DERECHO DE CÓRDOBA 2011 a la fecha.</w:t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Otros ESTUDIOS DE POSTGRADO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POSTGRADO EN DERECHO REGISTRAL - UBA- 1993/1994. Módulos aprobados.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POSTGRADO EN DERECHO SOCIETARIO- UNT- 1996/7/8. Final aprobado.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POSTGRADO EN GESTION PUBLICA - UNJU y UBA- 1998/1999. Trabajo final presentado.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POSTGRADO EN EDUCACIÓN SUPERIOR. UC de CUYO.- 2001/2002.- Aprobado.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CARRERA DOCENTE: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Profesora por Concurso en la Cátedra “Elementos de Derechos Reales”. Dr. Manuel I. Adrogué. 1991 a 1998. Facultad de Derecho. UBA. Buenos Aires.-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Profesora Titular de la Cátedra de Derecho Civil II. Resolución del Consejo del DASS Nº 43/2014.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-Directora del CURSO DE POSTGRADO en “Gerenciamiento de Empresas de Salud”. UCSE 2007.</w:t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jc w:val="both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PUBLICACIONES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LIBROS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“El impacto de las nuevas tecnologías en la vinculación jurídica”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Legis S.A. Bs As 2011. en co-autoría con el dr Matías L. Nieto.-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Derecho Registral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Su vinculación a la Ley 26.994 y al Procedimiento Provincial”. Ed. El Fuste. 2015</w:t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Habilitación de Instancia: Universidades Públicas y Privadas”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(Obra colectiva Javier Arias Cau y otros). Ed. El Fuste. 2015</w:t>
      </w:r>
    </w:p>
    <w:p w:rsidR="00000000" w:rsidDel="00000000" w:rsidP="00000000" w:rsidRDefault="00000000" w:rsidRPr="00000000" w14:paraId="00000025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Obligaciones civiles y comerciales en el Nuevo Código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460 págs. Ed Advocatus – Bibliotex- Córdoba. 2019.</w:t>
      </w:r>
    </w:p>
    <w:p w:rsidR="00000000" w:rsidDel="00000000" w:rsidP="00000000" w:rsidRDefault="00000000" w:rsidRPr="00000000" w14:paraId="00000026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Habilitación de Instancia en los reclamos y recursos en materia de Servicios Públicos.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Ed El Fuste. Jujuy. 2020 (próxima aparición sDq).</w:t>
      </w:r>
    </w:p>
    <w:p w:rsidR="00000000" w:rsidDel="00000000" w:rsidP="00000000" w:rsidRDefault="00000000" w:rsidRPr="00000000" w14:paraId="00000027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Derogación de los contratos reales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Revista Jurídica de la Asociación de Abogados de Itapúa, Edición 2012 – nº1. República del Paraguay y en Microjuris. </w:t>
      </w:r>
    </w:p>
    <w:p w:rsidR="00000000" w:rsidDel="00000000" w:rsidP="00000000" w:rsidRDefault="00000000" w:rsidRPr="00000000" w14:paraId="00000028">
      <w:pPr>
        <w:spacing w:line="480" w:lineRule="auto"/>
        <w:jc w:val="both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Obligaciones Civiles y Comerciales en el Nuevo Código”. Ed. Advocatus. Córdoba.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sz w:val="24"/>
          <w:szCs w:val="24"/>
          <w:vertAlign w:val="baseline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https://articulo.mercadolibre.com.ar/MLA-829559279-chain-molina-obligaciones-civiles-y-comerciales-en-nuevo-cod-_JM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48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Servicios públicos domiciliarios (reclamos y recursos. El escribano como agente de retención).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Ed Advocatus / El Fuste. Córdoba. 2020.</w:t>
      </w:r>
    </w:p>
    <w:p w:rsidR="00000000" w:rsidDel="00000000" w:rsidP="00000000" w:rsidRDefault="00000000" w:rsidRPr="00000000" w14:paraId="0000002B">
      <w:pPr>
        <w:spacing w:line="4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Clasificación de las Obligaciones (Prólogo del dr Roberto Vázquez Ferreyra). Advocatus - Bibliotex. Córdoba. 2022.</w:t>
      </w:r>
    </w:p>
    <w:p w:rsidR="00000000" w:rsidDel="00000000" w:rsidP="00000000" w:rsidRDefault="00000000" w:rsidRPr="00000000" w14:paraId="0000002C">
      <w:pPr>
        <w:spacing w:line="4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Extinción de las Obligaciones (Prólogo de la Dra. Silvia Y. Tanzi). Ed Advocatus.  Bibliotex- Córdoba. 2023.</w:t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Artículos publicados en Revistas jurídicas: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Numerosas publicaciones en la Revista del Notariado de la entonces Capital Federal, hoy Ciudad Autónoma de Buenos Aires,Revista Notarial de la Provincia de El Chaco “La Pluma”; “Revista Notarial”. Número extraordinario. Colegio de Escribanos de Jujuy - Enero 2000.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Directora de la “Revista Notarial”, Colegio de Escribanos de Jujuy desde su número fundacional hasta la fecha:</w:t>
      </w:r>
      <w:r w:rsidDel="00000000" w:rsidR="00000000" w:rsidRPr="00000000">
        <w:rPr>
          <w:sz w:val="24"/>
          <w:szCs w:val="24"/>
          <w:rtl w:val="0"/>
        </w:rPr>
        <w:t xml:space="preserve"> Número Extraordinario con ocasión del Año Dos Mil, (edición fundacional), años 1999, 2000, 2001,2002 y 2003;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Microjuris: El resarcimiento del daño moratorio en prestaciones que no tienen por objeto el dinero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19-mar-2018 |  Doctrina  |  Chaín Molina, Silvina M.  |  MJ-DOC-12361-AR  |  MJD12361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Proyecto de adecuación organizacional de los registros públicos de la Provincia de Jujuy según la Ley de Modernización del Estado y la unificación del Código Civil y Comercial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27-jun-2017 |  Doctrina  |  Chain Molina, Silvina M.  |  MJ-DOC-11686-AR  |  MJD11686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Servicios públicos domiciliarios de jurisdicción nacional y provincial. El escribano como agente de percepción. Tercera parte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26-jul-2016 |  Doctrina  |  Chaín Molina, Silvina M.  |  MJ-DOC-9961-AR  |  MJD9961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Servicios públicos domiciliarios de jurisdicción nacional y provincial. El escribano como agente de percepción. Segunda parte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25-jul-2016 |  Doctrina  |  Chaín Molina, Silvina M.  |  MJ-DOC-9960-AR  |  MJD9960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Servicios públicos domiciliarios de jurisdicción nacional y provincial. El escribano como agente de percepción.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22-jul-2016 |  Doctrina  |  Chaín Molina, Silvina M.  |  MJ-DOC-9959-AR  |  MJD9959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Daños y derecho de familia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10-nov-2015 |  Doctrina  |  Chaín Molina, Silvina M.  |  MJ-DOC-7469-AR  |  MJD7469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Ley de medios: soluciones y conflictos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30-jun-2014 |  Doctrina  |  Chaín Molina, Silvina M.  |  MJ-DOC-6775-AR  |  MJD6775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¿Es la transacción un contrato? Una cuestión teórica plena de efectos prácticos. Tratamiento en los proyectos de reforma al Código Civil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14-nov-2013 |  Doctrina  |  Chaín Molina, Silvina M.  |  MJ-DOC-6507-AR  |  MJD6507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Fideicomiso. Situación actual en la legislación argentina y tratamiento en los proyectos de Código Civil 1998 y 2012. ¿Onerosidad o gratuidad?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17-sep-2013 |  Doctrina  |  Chain Molina, Silvina M.  |  MJ-DOC-6433-AR  |  MJD6433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Análisis de la responsabilidad objetiva de los propietarios de establecimientos educativos (con relación al daño y la exoneración)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10-dic-2010 |  Doctrina  |  Arias Cáu, Esteban J. - Chaín Molina, Silvina M. - Nieto, Matías L.  |  MJ-DOC-5074-AR  |  MJD5074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“Estudios sobre las Mercedes Reales”.- Publicado en la Revista del Notariado de la entonces Capital Federal, hoy Ciudad Autónoma de Buenos Aires. Abril 1994. Capital Federal - 1994.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-“El excesivo e ilegítimo rigor formal y los notarios”.- Revista Notarial de la Provincia de El Chaco “La Pluma”. Diciembre 2002. Año 4, Nº 13.-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-“El fideicomiso como modo de limitar la responsabilidad”.- Presentado en el Postgrado de Derecho Societario. UN de Tucumán 1995/6, publicado en la “Revista Notarial”. Número extraordinario. Colegio de Escribanos de Jujuy - Enero 2000.-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Directora de la “Revista Notarial”, Colegio de Escribanos de Jujuy desde su número fundacional hasta la fecha: Número Extraordinario con ocasión del Año Dos Mil, (edición fundacional), años 1999, 2000, 2001,2002 y 2003.-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-”Observaciones a una Teoría Aformalista respecto a la Compraventa Inmobiliaria: Valor del boleto.” Revista Notarial Pretium Fidei. Año I. Nº 2. Colegio de Escribanos de Jujuy. Julio 2000.-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-”Dos fallos interesantes”. Revista Notarial Pretium Fidei. Año I. Nº 2. Colegio de Escribanos de Jujuy. Julio 2000.-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-“Venta de Unidades Funcionales en Construcción”. Sección Jurisprudencia. Revista Notarial Pretium Fidei. Año II. Nº 3. Colegio de Escribanos de Jujuy. Junio 2001.-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-“El Derecho como relación de alteridad y justicia”. Revista Notarial Pretium Fidei. Sección Doctrina, Año II. Nº 3. Colegio de Escribanos de Jujuy. Junio 2001.-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-“El objeto de los derechos reales”. Revista Notarial Pretium Fidei. Sección Doctrina, Año III. Nº 4. Colegio de Escribanos de Jujuy. Junio 2002.-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-“Obligaciones dinerarias. Pesificación y Emergencia”. Caso San Luis y fallo de Cámara (Bs.As). Revista Notarial Pretium Fidei. Sección Doctrina, Año IV. Nº 5. Colegio de Escribanos de Jujuy. Junio 2003.-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Publicaciones en Errepar- Erreius: Breves consideraciones actuales acerca de los sujetos de las obligaciones. Animales. La Tierra como sujeto de Derecho. Temas de Derecho Civil N° Mayo 2023. “Obligaciones de Medios y de Resultados: Anclaje del nuevo ordenamiento a la imputación de culpa y autoría”: Temas de Derecho Civil Junio 2019. “Función calificadora del Registro Inmobililario”. Temas de Derecho Civil Febrero 2022. “Pluralidad de sujetos y divisibilidad del objeto de las obligaciones”. Temas de Derecho Civil Abril 2023. “Cumplimiento e incumplimiento de la obligación por frustración del negocio e imposibilidad de la prestación”. Temas de Derecho Civil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REPRESENTACIÓN PROVINCIAL E INSTITUCIONAL EN CURSOS, JORNADAS, REUNIONES DE DIRECTORES DE REGISTROS INMOBILIAROS  </w:t>
      </w:r>
    </w:p>
    <w:p w:rsidR="00000000" w:rsidDel="00000000" w:rsidP="00000000" w:rsidRDefault="00000000" w:rsidRPr="00000000" w14:paraId="00000052">
      <w:pPr>
        <w:spacing w:line="480" w:lineRule="auto"/>
        <w:jc w:val="both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Participante en disertaciones y CONFERENCIAS en 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Inmobiliario de la Provincia de Jujuy,  (1997/8),Seminarios de Responsabilidad Civil. U.C.S.E. San Salvador de Jujuy, 2000, 2001, 2002,2003,2004, 2007,2008,2009,2010</w:t>
      </w:r>
      <w:r w:rsidDel="00000000" w:rsidR="00000000" w:rsidRPr="00000000">
        <w:rPr>
          <w:rFonts w:ascii="Wide Latin" w:cs="Wide Latin" w:eastAsia="Wide Latin" w:hAnsi="Wide Lati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Colegio de Escribanos de Jujuy –Fideicomiso- 2001-y “Contrato Oneroso de Renta Vitalicia” 2004. Participante y ponente en  Jornadas Notariales Argentinas. Salta. 2005; Jornadas Nacionales de Derecho Civil: 2001, 2003, 2005, 2007, 2009; Coordinadora de los Seminarios de Responsabilidad civil. UCSE. JUJUY 2001/2002/2003/2004, 2005 y 2007; Panelista en el Seminario “Responsabilidad Civil de establecimientos educativos”; UCSE- 2010;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“La transacción , forma y prueba”.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Colegio de Abogados de Jujuy. Junio 2011. Jornadas Preparatorias de las XXIII Jornadas Nacionales de Derecho Civil;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Actualización Civil: “El Derecho Registral en el Nuevo Proyecto de Unificación de la legislación 2012”.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UCSE . 6 de Noviembre de 2012;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Tendencias actuales del contrato.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UCSE. 10 Julio 2013 y Ley de Medios en la Gobernación de Itapúa de la República del Paraguay.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Coordinadora de la Comisión de Obligaciones en las Jornadas Nacionales de Derecho Civil. La Plata. 2017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u w:val="single"/>
          <w:vertAlign w:val="baseline"/>
          <w:rtl w:val="0"/>
        </w:rPr>
        <w:t xml:space="preserve">CONFERENCIAS SOBRE EL NUEVO CODIGO CIVIL Y COMERCIAL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1) Profesora en la DIPLOMATURA EN DERECHO CIVIL. UNIVERSIDAD AUSTRAL: Temas: Título Preliminar. Personas Jurídicas. Dictadas en el Colegio de Abogados de Jujuy (Marzo 2015) y en el Colegio de la Magistratura de la Provincia de Salta (Agosto 2015)</w:t>
      </w:r>
    </w:p>
    <w:p w:rsidR="00000000" w:rsidDel="00000000" w:rsidP="00000000" w:rsidRDefault="00000000" w:rsidRPr="00000000" w14:paraId="00000058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2) Docente en el SEMINARIO DE POSGRADO EN CONTRATOS. Posgrado en Contratos. Parte General. Mayo 2015. UCSE- DASS. Conjuntamente con el dr. Mariano Esper.</w:t>
      </w:r>
    </w:p>
    <w:p w:rsidR="00000000" w:rsidDel="00000000" w:rsidP="00000000" w:rsidRDefault="00000000" w:rsidRPr="00000000" w14:paraId="00000059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3) Docente en el Posgrado en ACTUALIZACIÓN EN DERECHO CIVIL A LA LUZ DEL NUEVO CÓDIGO CIVIL Y COMERCIAL. I.P.A.P.  Abogados de Fiscalía de Estado. Pcia de Jujuy. Tema: Derechos Reales. Derecho Registral. Septiembre de 2015. </w:t>
      </w:r>
    </w:p>
    <w:p w:rsidR="00000000" w:rsidDel="00000000" w:rsidP="00000000" w:rsidRDefault="00000000" w:rsidRPr="00000000" w14:paraId="0000005A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4) Profesora en el POSGRADO EN DERECHO PRIVADO. “De la Teoría a la Práctica”. Tema: Hecho y Acto Jurídico: Instrumentos Públicos, Particulares firmados y no firmados. UCSE DASS. 21 de Mayo de 2016. Organizado por la Academia Nacional de Derecho de Córdoba –Secretaría Jujuy- el D.A.S.S. de la UCSE-DASS.</w:t>
      </w:r>
    </w:p>
    <w:p w:rsidR="00000000" w:rsidDel="00000000" w:rsidP="00000000" w:rsidRDefault="00000000" w:rsidRPr="00000000" w14:paraId="0000005B">
      <w:pPr>
        <w:spacing w:line="480" w:lineRule="auto"/>
        <w:jc w:val="both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480" w:lineRule="auto"/>
        <w:jc w:val="both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480" w:lineRule="auto"/>
        <w:jc w:val="both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ACTIVIDAD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-Prácticas en Estudio jurídico Levene Areco, Escribana Paula Rodríguez Foster. Breton Chevallier y Figueroa. CABA (años de estudiante: 1990 a 1995).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Escribana Titular del Registro N°51 Pcia de Jujuy.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Miembro del Tribunal de Superintendencia del Colegio de Escribanos de Jujuy. Julio de 2004 a 2008.-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color="000000" w:space="5" w:sz="6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582" w:top="1327" w:left="3600" w:right="10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Wide Lati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pBdr>
          <w:left w:color="000000" w:space="5" w:sz="6" w:val="singl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Wide Latin" w:hAnsi="Wide Latin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1"/>
    </w:pPr>
    <w:rPr>
      <w:rFonts w:ascii="Wide Latin" w:hAnsi="Wide Latin"/>
      <w:i w:val="1"/>
      <w:w w:val="100"/>
      <w:position w:val="-1"/>
      <w:sz w:val="24"/>
      <w:u w:val="words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2"/>
    </w:pPr>
    <w:rPr>
      <w:rFonts w:ascii="Wide Latin" w:hAnsi="Wide Latin"/>
      <w:i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center"/>
      <w:textDirection w:val="btLr"/>
      <w:textAlignment w:val="baseline"/>
      <w:outlineLvl w:val="3"/>
    </w:pPr>
    <w:rPr>
      <w:rFonts w:ascii="Wide Latin" w:hAnsi="Wide Latin"/>
      <w:b w:val="1"/>
      <w:w w:val="100"/>
      <w:position w:val="-1"/>
      <w:sz w:val="36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a">
    <w:name w:val="Lista"/>
    <w:basedOn w:val="Textoindependiente"/>
    <w:next w:val="Lista"/>
    <w:autoRedefine w:val="0"/>
    <w:hidden w:val="0"/>
    <w:qFormat w:val="0"/>
    <w:pPr>
      <w:keepLines w:val="1"/>
      <w:pBdr>
        <w:left w:color="auto" w:space="5" w:sz="6" w:val="single"/>
      </w:pBdr>
      <w:tabs>
        <w:tab w:val="left" w:leader="none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8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conviñetas">
    <w:name w:val="Lista con viñetas"/>
    <w:basedOn w:val="Lista"/>
    <w:next w:val="Listaconviñetas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5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Títulodeldocumento">
    <w:name w:val="Título del documento"/>
    <w:basedOn w:val="Títulobase"/>
    <w:next w:val="Títulodeldocumento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base">
    <w:name w:val="Título base"/>
    <w:basedOn w:val="Normal"/>
    <w:next w:val="Títulobase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es-ES" w:val="es-ES"/>
    </w:rPr>
  </w:style>
  <w:style w:type="paragraph" w:styleId="Nombredeempresa">
    <w:name w:val="Nombre de empresa"/>
    <w:basedOn w:val="Textoindependiente"/>
    <w:next w:val="Nombredeempresa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0" w:before="16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Nombredelaempresa">
    <w:name w:val="Nombre de la empresa"/>
    <w:basedOn w:val="Textoindependiente"/>
    <w:next w:val="Nombredelaempresa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0" w:before="16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Nombre">
    <w:name w:val="Nombre"/>
    <w:basedOn w:val="Textoindependiente"/>
    <w:next w:val="Nombre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8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Objetivo">
    <w:name w:val="Objetivo"/>
    <w:basedOn w:val="Textoindependiente"/>
    <w:next w:val="Objetivo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120" w:before="32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i w:val="1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Date">
    <w:name w:val="Date"/>
    <w:basedOn w:val="Textoindependiente"/>
    <w:next w:val="Date"/>
    <w:autoRedefine w:val="0"/>
    <w:hidden w:val="0"/>
    <w:qFormat w:val="0"/>
    <w:pPr>
      <w:keepNext w:val="1"/>
      <w:framePr w:anchorLock="0" w:lines="0" w:w="3600" w:vSpace="58" w:wrap="auto" w:hAnchor="text" w:vAnchor="text" w:y="217" w:hRule="auto"/>
      <w:pBdr>
        <w:left w:color="auto" w:space="0" w:sz="0" w:val="none"/>
      </w:pBdr>
      <w:suppressAutoHyphens w:val="1"/>
      <w:overflowPunct w:val="0"/>
      <w:autoSpaceDE w:val="0"/>
      <w:autoSpaceDN w:val="0"/>
      <w:adjustRightInd w:val="0"/>
      <w:spacing w:after="0" w:line="1" w:lineRule="atLeast"/>
      <w:ind w:left="1080" w:right="540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Dirección/carta">
    <w:name w:val="Dirección/carta"/>
    <w:basedOn w:val="Textoindependiente"/>
    <w:next w:val="Dirección/carta"/>
    <w:autoRedefine w:val="0"/>
    <w:hidden w:val="0"/>
    <w:qFormat w:val="0"/>
    <w:pPr>
      <w:keepLines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0" w:line="1" w:lineRule="atLeast"/>
      <w:ind w:right="3240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Institución">
    <w:name w:val="Institución"/>
    <w:basedOn w:val="Textoindependiente"/>
    <w:next w:val="Institución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0" w:before="16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Nivel">
    <w:name w:val="Nivel"/>
    <w:basedOn w:val="Institución"/>
    <w:next w:val="Nivel"/>
    <w:autoRedefine w:val="0"/>
    <w:hidden w:val="0"/>
    <w:qFormat w:val="0"/>
    <w:pPr>
      <w:keepNext w:val="0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8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0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Énfasisinicial">
    <w:name w:val="Énfasis inicial"/>
    <w:next w:val="Énfasisinicial"/>
    <w:autoRedefine w:val="0"/>
    <w:hidden w:val="0"/>
    <w:qFormat w:val="0"/>
    <w:rPr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Encabezadobase">
    <w:name w:val="Encabezado base"/>
    <w:basedOn w:val="Normal"/>
    <w:next w:val="Encabezadobase"/>
    <w:autoRedefine w:val="0"/>
    <w:hidden w:val="0"/>
    <w:qFormat w:val="0"/>
    <w:pPr>
      <w:pBdr>
        <w:left w:color="auto" w:space="0" w:sz="0" w:val="none"/>
      </w:pBdr>
      <w:tabs>
        <w:tab w:val="center" w:leader="none" w:pos="3780"/>
        <w:tab w:val="right" w:leader="none" w:pos="756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Encabezadobase"/>
    <w:next w:val="Encabezado"/>
    <w:autoRedefine w:val="0"/>
    <w:hidden w:val="0"/>
    <w:qFormat w:val="0"/>
    <w:pPr>
      <w:pBdr>
        <w:left w:color="auto" w:space="0" w:sz="0" w:val="none"/>
      </w:pBdr>
      <w:tabs>
        <w:tab w:val="center" w:leader="none" w:pos="3780"/>
        <w:tab w:val="right" w:leader="none" w:pos="756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Encabezadobase"/>
    <w:next w:val="Piedepágina"/>
    <w:autoRedefine w:val="0"/>
    <w:hidden w:val="0"/>
    <w:qFormat w:val="0"/>
    <w:pPr>
      <w:pBdr>
        <w:left w:color="auto" w:space="0" w:sz="0" w:val="none"/>
      </w:pBdr>
      <w:tabs>
        <w:tab w:val="center" w:leader="none" w:pos="3780"/>
        <w:tab w:val="right" w:leader="none" w:pos="756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taalpiebase"/>
    <w:next w:val="Textocomentario"/>
    <w:autoRedefine w:val="0"/>
    <w:hidden w:val="0"/>
    <w:qFormat w:val="0"/>
    <w:pPr>
      <w:pBdr>
        <w:left w:color="auto" w:space="5" w:sz="6" w:val="single"/>
      </w:pBdr>
      <w:tabs>
        <w:tab w:val="left" w:leader="none" w:pos="187"/>
      </w:tabs>
      <w:suppressAutoHyphens w:val="1"/>
      <w:overflowPunct w:val="0"/>
      <w:autoSpaceDE w:val="0"/>
      <w:autoSpaceDN w:val="0"/>
      <w:adjustRightInd w:val="0"/>
      <w:spacing w:after="120" w:line="220" w:lineRule="atLeast"/>
      <w:ind w:left="187" w:leftChars="-1" w:rightChars="0" w:hanging="187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Notaalpiebase">
    <w:name w:val="Nota al pie base"/>
    <w:basedOn w:val="Normal"/>
    <w:next w:val="Notaalpiebase"/>
    <w:autoRedefine w:val="0"/>
    <w:hidden w:val="0"/>
    <w:qFormat w:val="0"/>
    <w:pPr>
      <w:pBdr>
        <w:left w:color="auto" w:space="5" w:sz="6" w:val="single"/>
      </w:pBdr>
      <w:tabs>
        <w:tab w:val="left" w:leader="none" w:pos="187"/>
      </w:tabs>
      <w:suppressAutoHyphens w:val="1"/>
      <w:overflowPunct w:val="0"/>
      <w:autoSpaceDE w:val="0"/>
      <w:autoSpaceDN w:val="0"/>
      <w:adjustRightInd w:val="0"/>
      <w:spacing w:line="220" w:lineRule="atLeast"/>
      <w:ind w:left="187" w:leftChars="-1" w:rightChars="0" w:hanging="187" w:firstLineChars="-1"/>
      <w:textDirection w:val="btLr"/>
      <w:textAlignment w:val="baseline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Listaconnúmeros">
    <w:name w:val="Lista con números"/>
    <w:basedOn w:val="Lista"/>
    <w:next w:val="Listaconnúmeros"/>
    <w:autoRedefine w:val="0"/>
    <w:hidden w:val="0"/>
    <w:qFormat w:val="0"/>
    <w:pPr>
      <w:keepLines w:val="1"/>
      <w:numPr>
        <w:ilvl w:val="11"/>
        <w:numId w:val="2047"/>
      </w:numPr>
      <w:pBdr>
        <w:left w:color="auto" w:space="5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BulletFirst">
    <w:name w:val="List Bullet First"/>
    <w:basedOn w:val="Listaconviñetas"/>
    <w:next w:val="Listaconviñetas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5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before="8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Continuarlista2">
    <w:name w:val="Continuar lista 2"/>
    <w:basedOn w:val="Normal"/>
    <w:next w:val="Continuarlista2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120" w:line="1" w:lineRule="atLeast"/>
      <w:ind w:left="566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conviñetasprimero">
    <w:name w:val="Lista con viñetas primero"/>
    <w:basedOn w:val="Listaconviñetas"/>
    <w:next w:val="Listaconviñetas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5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before="8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Listaconviñetasúltimo">
    <w:name w:val="Lista con viñetas último"/>
    <w:basedOn w:val="Listaconviñetas"/>
    <w:next w:val="Textoindependiente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5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24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Listaconnúmerosprimero">
    <w:name w:val="Lista con números primero"/>
    <w:basedOn w:val="Listaconnúmeros"/>
    <w:next w:val="Listaconnúmeros"/>
    <w:autoRedefine w:val="0"/>
    <w:hidden w:val="0"/>
    <w:qFormat w:val="0"/>
    <w:pPr>
      <w:keepLines w:val="1"/>
      <w:numPr>
        <w:ilvl w:val="11"/>
        <w:numId w:val="2047"/>
      </w:numPr>
      <w:pBdr>
        <w:left w:color="auto" w:space="5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before="8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connúmerosúltimo">
    <w:name w:val="Lista con números último"/>
    <w:basedOn w:val="Listaconnúmeros"/>
    <w:next w:val="Normal"/>
    <w:autoRedefine w:val="0"/>
    <w:hidden w:val="0"/>
    <w:qFormat w:val="0"/>
    <w:pPr>
      <w:keepLines w:val="1"/>
      <w:numPr>
        <w:ilvl w:val="11"/>
        <w:numId w:val="2047"/>
      </w:numPr>
      <w:pBdr>
        <w:left w:color="auto" w:space="5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24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next w:val="Númerodepágina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desección">
    <w:name w:val="Subtítulo de sección"/>
    <w:basedOn w:val="Títulodelasección"/>
    <w:next w:val="Subtítulodesección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0" w:before="16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Títulodelasección">
    <w:name w:val="Título de la sección"/>
    <w:basedOn w:val="Títulobase"/>
    <w:next w:val="Títulodelasección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character" w:styleId="Superíndice">
    <w:name w:val="Superíndice"/>
    <w:next w:val="Superíndi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Listaprimero">
    <w:name w:val="Lista primero"/>
    <w:basedOn w:val="Lista"/>
    <w:next w:val="Lista"/>
    <w:autoRedefine w:val="0"/>
    <w:hidden w:val="0"/>
    <w:qFormat w:val="0"/>
    <w:pPr>
      <w:keepLines w:val="1"/>
      <w:pBdr>
        <w:left w:color="auto" w:space="5" w:sz="6" w:val="single"/>
      </w:pBdr>
      <w:tabs>
        <w:tab w:val="left" w:leader="none" w:pos="360"/>
      </w:tabs>
      <w:suppressAutoHyphens w:val="1"/>
      <w:overflowPunct w:val="0"/>
      <w:autoSpaceDE w:val="0"/>
      <w:autoSpaceDN w:val="0"/>
      <w:adjustRightInd w:val="0"/>
      <w:spacing w:after="160" w:before="8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último">
    <w:name w:val="Lista último"/>
    <w:basedOn w:val="Lista"/>
    <w:next w:val="Textoindependiente"/>
    <w:autoRedefine w:val="0"/>
    <w:hidden w:val="0"/>
    <w:qFormat w:val="0"/>
    <w:pPr>
      <w:keepLines w:val="1"/>
      <w:pBdr>
        <w:left w:color="auto" w:space="5" w:sz="6" w:val="single"/>
      </w:pBdr>
      <w:tabs>
        <w:tab w:val="left" w:leader="none" w:pos="360"/>
      </w:tabs>
      <w:suppressAutoHyphens w:val="1"/>
      <w:overflowPunct w:val="0"/>
      <w:autoSpaceDE w:val="0"/>
      <w:autoSpaceDN w:val="0"/>
      <w:adjustRightInd w:val="0"/>
      <w:spacing w:after="24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macro">
    <w:name w:val="Texto macro"/>
    <w:basedOn w:val="Textoindependiente"/>
    <w:next w:val="Textomacro"/>
    <w:autoRedefine w:val="0"/>
    <w:hidden w:val="0"/>
    <w:qFormat w:val="0"/>
    <w:pPr>
      <w:pBdr>
        <w:left w:color="auto" w:space="0" w:sz="0" w:val="none"/>
      </w:pBdr>
      <w:suppressAutoHyphens w:val="1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Imagen">
    <w:name w:val="Imagen"/>
    <w:basedOn w:val="Textoindependiente"/>
    <w:next w:val="Imagen"/>
    <w:autoRedefine w:val="0"/>
    <w:hidden w:val="0"/>
    <w:qFormat w:val="0"/>
    <w:pPr>
      <w:pBdr>
        <w:left w:color="auto" w:space="0" w:sz="0" w:val="none"/>
      </w:pBdr>
      <w:suppressAutoHyphens w:val="1"/>
      <w:overflowPunct w:val="0"/>
      <w:autoSpaceDE w:val="0"/>
      <w:autoSpaceDN w:val="0"/>
      <w:adjustRightInd w:val="0"/>
      <w:spacing w:after="8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Emphasis">
    <w:name w:val="Emphasis"/>
    <w:next w:val="Emphasi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Datospersonales">
    <w:name w:val="Datos personales"/>
    <w:basedOn w:val="Textoindependiente"/>
    <w:next w:val="Datospersonales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8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BodyText20">
    <w:name w:val="Body Text 2"/>
    <w:basedOn w:val="Textoindependiente"/>
    <w:next w:val="BodyText20"/>
    <w:autoRedefine w:val="0"/>
    <w:hidden w:val="0"/>
    <w:qFormat w:val="0"/>
    <w:pPr>
      <w:pBdr>
        <w:left w:color="auto" w:space="23" w:sz="6" w:val="single"/>
      </w:pBdr>
      <w:suppressAutoHyphens w:val="1"/>
      <w:overflowPunct w:val="0"/>
      <w:autoSpaceDE w:val="0"/>
      <w:autoSpaceDN w:val="0"/>
      <w:adjustRightInd w:val="0"/>
      <w:spacing w:after="80" w:line="1" w:lineRule="atLeast"/>
      <w:ind w:left="360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2">
    <w:name w:val="Lista 2"/>
    <w:basedOn w:val="Lista"/>
    <w:next w:val="Lista2"/>
    <w:autoRedefine w:val="0"/>
    <w:hidden w:val="0"/>
    <w:qFormat w:val="0"/>
    <w:pPr>
      <w:keepLines w:val="1"/>
      <w:pBdr>
        <w:left w:color="auto" w:space="23" w:sz="6" w:val="single"/>
      </w:pBdr>
      <w:tabs>
        <w:tab w:val="clear" w:pos="360"/>
        <w:tab w:val="left" w:leader="none" w:pos="72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72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ontinuarlista3">
    <w:name w:val="Continuar lista 3"/>
    <w:basedOn w:val="Normal"/>
    <w:next w:val="Continuarlista3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120" w:line="1" w:lineRule="atLeast"/>
      <w:ind w:left="849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3">
    <w:name w:val="Lista 3"/>
    <w:basedOn w:val="Lista"/>
    <w:next w:val="Lista3"/>
    <w:autoRedefine w:val="0"/>
    <w:hidden w:val="0"/>
    <w:qFormat w:val="0"/>
    <w:pPr>
      <w:keepLines w:val="1"/>
      <w:pBdr>
        <w:left w:color="auto" w:space="0" w:sz="0" w:val="none"/>
      </w:pBdr>
      <w:tabs>
        <w:tab w:val="clear" w:pos="360"/>
        <w:tab w:val="left" w:leader="none" w:pos="108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08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4">
    <w:name w:val="Lista 4"/>
    <w:basedOn w:val="Lista"/>
    <w:next w:val="Lista4"/>
    <w:autoRedefine w:val="0"/>
    <w:hidden w:val="0"/>
    <w:qFormat w:val="0"/>
    <w:pPr>
      <w:keepLines w:val="1"/>
      <w:pBdr>
        <w:left w:color="auto" w:space="0" w:sz="0" w:val="none"/>
      </w:pBdr>
      <w:tabs>
        <w:tab w:val="clear" w:pos="360"/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44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5">
    <w:name w:val="Lista 5"/>
    <w:basedOn w:val="Lista"/>
    <w:next w:val="Lista5"/>
    <w:autoRedefine w:val="0"/>
    <w:hidden w:val="0"/>
    <w:qFormat w:val="0"/>
    <w:pPr>
      <w:keepLines w:val="1"/>
      <w:pBdr>
        <w:left w:color="auto" w:space="0" w:sz="0" w:val="none"/>
      </w:pBdr>
      <w:tabs>
        <w:tab w:val="clear" w:pos="360"/>
        <w:tab w:val="left" w:leader="none" w:pos="180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80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connúmeros5">
    <w:name w:val="Lista con números 5"/>
    <w:basedOn w:val="Listaconnúmeros"/>
    <w:next w:val="Listaconnúmeros5"/>
    <w:autoRedefine w:val="0"/>
    <w:hidden w:val="0"/>
    <w:qFormat w:val="0"/>
    <w:pPr>
      <w:keepLines w:val="1"/>
      <w:numPr>
        <w:ilvl w:val="11"/>
        <w:numId w:val="2047"/>
      </w:numPr>
      <w:pBdr>
        <w:left w:color="auto" w:space="0" w:sz="0" w:val="non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80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connúmeros4">
    <w:name w:val="Lista con números 4"/>
    <w:basedOn w:val="Listaconnúmeros"/>
    <w:next w:val="Listaconnúmeros4"/>
    <w:autoRedefine w:val="0"/>
    <w:hidden w:val="0"/>
    <w:qFormat w:val="0"/>
    <w:pPr>
      <w:keepLines w:val="1"/>
      <w:numPr>
        <w:ilvl w:val="11"/>
        <w:numId w:val="2047"/>
      </w:numPr>
      <w:pBdr>
        <w:left w:color="auto" w:space="0" w:sz="0" w:val="non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44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connúmeros3">
    <w:name w:val="Lista con números 3"/>
    <w:basedOn w:val="Listaconnúmeros"/>
    <w:next w:val="Listaconnúmeros3"/>
    <w:autoRedefine w:val="0"/>
    <w:hidden w:val="0"/>
    <w:qFormat w:val="0"/>
    <w:pPr>
      <w:keepLines w:val="1"/>
      <w:numPr>
        <w:ilvl w:val="11"/>
        <w:numId w:val="2047"/>
      </w:numPr>
      <w:pBdr>
        <w:left w:color="auto" w:space="0" w:sz="0" w:val="non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08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connúmeros2">
    <w:name w:val="Lista con números 2"/>
    <w:basedOn w:val="Listaconnúmeros"/>
    <w:next w:val="Listaconnúmeros2"/>
    <w:autoRedefine w:val="0"/>
    <w:hidden w:val="0"/>
    <w:qFormat w:val="0"/>
    <w:pPr>
      <w:keepLines w:val="1"/>
      <w:numPr>
        <w:ilvl w:val="11"/>
        <w:numId w:val="2047"/>
      </w:numPr>
      <w:pBdr>
        <w:left w:color="auto" w:space="23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72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conviñetas5">
    <w:name w:val="Lista con viñetas 5"/>
    <w:basedOn w:val="Listaconviñetas"/>
    <w:next w:val="Listaconviñetas5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0" w:sz="0" w:val="non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80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Listaconviñetas4">
    <w:name w:val="Lista con viñetas 4"/>
    <w:basedOn w:val="Listaconviñetas"/>
    <w:next w:val="Listaconviñetas4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0" w:sz="0" w:val="non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44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Listaconviñetas3">
    <w:name w:val="Lista con viñetas 3"/>
    <w:basedOn w:val="Listaconviñetas"/>
    <w:next w:val="Listaconviñetas3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0" w:sz="0" w:val="non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108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Listaconviñetas2">
    <w:name w:val="Lista con viñetas 2"/>
    <w:basedOn w:val="Listaconviñetas"/>
    <w:next w:val="Listaconviñetas2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23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160" w:line="1" w:lineRule="atLeast"/>
      <w:ind w:left="72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Continuarlista">
    <w:name w:val="Continuar lista"/>
    <w:basedOn w:val="Normal"/>
    <w:next w:val="Continuarlista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120" w:line="1" w:lineRule="atLeast"/>
      <w:ind w:left="283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BulletLast">
    <w:name w:val="List Bullet Last"/>
    <w:basedOn w:val="Listaconviñetas"/>
    <w:next w:val="Textoindependiente"/>
    <w:autoRedefine w:val="0"/>
    <w:hidden w:val="0"/>
    <w:qFormat w:val="0"/>
    <w:pPr>
      <w:keepLines w:val="1"/>
      <w:numPr>
        <w:ilvl w:val="10"/>
        <w:numId w:val="2047"/>
      </w:numPr>
      <w:pBdr>
        <w:left w:color="auto" w:space="5" w:sz="6" w:val="single"/>
      </w:pBdr>
      <w:tabs>
        <w:tab w:val="clear" w:pos="360"/>
      </w:tabs>
      <w:suppressAutoHyphens w:val="1"/>
      <w:overflowPunct w:val="0"/>
      <w:autoSpaceDE w:val="0"/>
      <w:autoSpaceDN w:val="0"/>
      <w:adjustRightInd w:val="0"/>
      <w:spacing w:after="240"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Continuarlista5">
    <w:name w:val="Continuar lista 5"/>
    <w:basedOn w:val="Normal"/>
    <w:next w:val="Continuarlista5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120" w:line="1" w:lineRule="atLeast"/>
      <w:ind w:left="1415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iudad/Estado">
    <w:name w:val="Ciudad/Estado"/>
    <w:basedOn w:val="Textoindependiente"/>
    <w:next w:val="Ciudad/Estado"/>
    <w:autoRedefine w:val="0"/>
    <w:hidden w:val="0"/>
    <w:qFormat w:val="0"/>
    <w:pPr>
      <w:keepNext w:val="1"/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0" w:line="1" w:lineRule="atLeast"/>
      <w:ind w:leftChars="-1" w:rightChars="0" w:firstLineChars="-1"/>
      <w:textDirection w:val="btLr"/>
      <w:textAlignment w:val="baseline"/>
      <w:outlineLvl w:val="0"/>
    </w:pPr>
    <w:rPr>
      <w:b w:val="1"/>
      <w:i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ierre">
    <w:name w:val="Cierre"/>
    <w:basedOn w:val="Normal"/>
    <w:next w:val="Cierre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="4252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ogros">
    <w:name w:val="Logros"/>
    <w:basedOn w:val="Normal"/>
    <w:next w:val="Logros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8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character" w:styleId="Puesto">
    <w:name w:val="Puesto"/>
    <w:next w:val="Puesto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Continuarlista4">
    <w:name w:val="Continuar lista 4"/>
    <w:basedOn w:val="Normal"/>
    <w:next w:val="Continuarlista4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after="120" w:line="1" w:lineRule="atLeast"/>
      <w:ind w:left="1132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BodyText21">
    <w:name w:val="Body Text 2"/>
    <w:basedOn w:val="Normal"/>
    <w:next w:val="BodyText21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Wide Latin" w:hAnsi="Wide Latin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BodyText32">
    <w:name w:val="Body Text 3"/>
    <w:basedOn w:val="Normal"/>
    <w:next w:val="BodyText32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Wide Latin" w:hAnsi="Wide Latin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BodyText23">
    <w:name w:val="Body Text 2"/>
    <w:basedOn w:val="Normal"/>
    <w:next w:val="BodyText23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6"/>
      <w:effect w:val="none"/>
      <w:vertAlign w:val="baseline"/>
      <w:cs w:val="0"/>
      <w:em w:val="none"/>
      <w:lang w:bidi="ar-SA" w:eastAsia="es-ES" w:val="es-ES"/>
    </w:rPr>
  </w:style>
  <w:style w:type="paragraph" w:styleId="BodyText34">
    <w:name w:val="Body Text 3"/>
    <w:basedOn w:val="Normal"/>
    <w:next w:val="BodyText34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Wide Latin" w:hAnsi="Wide Latin"/>
      <w:w w:val="100"/>
      <w:position w:val="-1"/>
      <w:sz w:val="30"/>
      <w:effect w:val="none"/>
      <w:vertAlign w:val="baseline"/>
      <w:cs w:val="0"/>
      <w:em w:val="none"/>
      <w:lang w:bidi="ar-SA" w:eastAsia="es-ES" w:val="es-ES"/>
    </w:rPr>
  </w:style>
  <w:style w:type="paragraph" w:styleId="BodyText25">
    <w:name w:val="Body Text 2"/>
    <w:basedOn w:val="Normal"/>
    <w:next w:val="BodyText25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BodyText26">
    <w:name w:val="Body Text 2"/>
    <w:basedOn w:val="Normal"/>
    <w:next w:val="BodyText26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Wide Latin" w:hAnsi="Wide Latin"/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Wide Latin" w:hAnsi="Wide Latin"/>
      <w:b w:val="1"/>
      <w:i w:val="1"/>
      <w:w w:val="100"/>
      <w:position w:val="-1"/>
      <w:sz w:val="34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pBdr>
        <w:left w:color="auto" w:space="5" w:sz="6" w:val="single"/>
      </w:pBdr>
      <w:suppressAutoHyphens w:val="1"/>
      <w:overflowPunct w:val="0"/>
      <w:autoSpaceDE w:val="0"/>
      <w:autoSpaceDN w:val="0"/>
      <w:adjustRightInd w:val="0"/>
      <w:spacing w:line="48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Wide Latin" w:hAnsi="Wide Latin"/>
      <w:w w:val="100"/>
      <w:position w:val="-1"/>
      <w:sz w:val="3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ticulo.mercadolibre.com.ar/MLA-829559279-chain-molina-obligaciones-civiles-y-comerciales-en-nuevo-cod-_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dsW0NxJ75iE5kzncUGjeaQ9RQ==">CgMxLjA4AHIhMXFGdWg5dDBxbjBoalU3ZUl3NW1mSlJsRS1GRXZGbGZU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2014-06-05T01:21:00Z</dcterms:created>
  <dc:creator>COMT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